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Default="00391E4F" w:rsidP="007A26D0">
      <w:pPr>
        <w:jc w:val="center"/>
        <w:rPr>
          <w:b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9378F4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9378F4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9378F4" w:rsidRDefault="00391E4F" w:rsidP="007A26D0">
      <w:pPr>
        <w:jc w:val="center"/>
        <w:rPr>
          <w:b/>
          <w:lang w:val="ka-GE"/>
        </w:rPr>
      </w:pPr>
      <w:r w:rsidRPr="009378F4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="00036843" w:rsidRPr="009378F4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9378F4">
        <w:rPr>
          <w:b/>
          <w:color w:val="000000" w:themeColor="text1"/>
          <w:lang w:val="ka-GE"/>
        </w:rPr>
        <w:t xml:space="preserve">  </w:t>
      </w:r>
      <w:r w:rsidR="009A7A79" w:rsidRPr="009378F4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9378F4">
        <w:rPr>
          <w:b/>
          <w:color w:val="000000" w:themeColor="text1"/>
          <w:lang w:val="ka-GE"/>
        </w:rPr>
        <w:t xml:space="preserve">01-213/ო </w:t>
      </w:r>
      <w:r w:rsidR="00036843" w:rsidRPr="009378F4">
        <w:rPr>
          <w:b/>
          <w:color w:val="000000" w:themeColor="text1"/>
          <w:lang w:val="ka-GE"/>
        </w:rPr>
        <w:t xml:space="preserve">ბრძანებით </w:t>
      </w:r>
      <w:r w:rsidR="00FF5ED2" w:rsidRPr="009378F4">
        <w:rPr>
          <w:b/>
          <w:color w:val="000000" w:themeColor="text1"/>
          <w:lang w:val="ka-GE"/>
        </w:rPr>
        <w:t xml:space="preserve">შექმნილი </w:t>
      </w:r>
      <w:r w:rsidRPr="009378F4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Pr="009378F4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9378F4" w:rsidRDefault="007A26D0" w:rsidP="007A26D0">
      <w:pPr>
        <w:jc w:val="center"/>
        <w:rPr>
          <w:b/>
          <w:lang w:val="ka-GE"/>
        </w:rPr>
      </w:pPr>
    </w:p>
    <w:p w14:paraId="0DF1BAB8" w14:textId="0D5FBBC4" w:rsidR="007A26D0" w:rsidRPr="009378F4" w:rsidRDefault="007A26D0" w:rsidP="007A26D0">
      <w:pPr>
        <w:jc w:val="center"/>
        <w:rPr>
          <w:b/>
          <w:lang w:val="ka-GE"/>
        </w:rPr>
      </w:pPr>
      <w:r w:rsidRPr="009378F4">
        <w:rPr>
          <w:b/>
          <w:lang w:val="ka-GE"/>
        </w:rPr>
        <w:t>ქ. თბილისი                                                                 20</w:t>
      </w:r>
      <w:r w:rsidR="00391E4F" w:rsidRPr="009378F4">
        <w:rPr>
          <w:b/>
          <w:lang w:val="ka-GE"/>
        </w:rPr>
        <w:t>20</w:t>
      </w:r>
      <w:r w:rsidRPr="009378F4">
        <w:rPr>
          <w:b/>
          <w:lang w:val="ka-GE"/>
        </w:rPr>
        <w:t xml:space="preserve"> წლის</w:t>
      </w:r>
      <w:r w:rsidR="007556C1">
        <w:rPr>
          <w:b/>
        </w:rPr>
        <w:t xml:space="preserve"> 03</w:t>
      </w:r>
      <w:r w:rsidR="000A79C2" w:rsidRPr="009378F4">
        <w:rPr>
          <w:b/>
          <w:lang w:val="ka-GE"/>
        </w:rPr>
        <w:t xml:space="preserve"> </w:t>
      </w:r>
      <w:r w:rsidR="001A1960" w:rsidRPr="009378F4">
        <w:rPr>
          <w:b/>
          <w:lang w:val="ka-GE"/>
        </w:rPr>
        <w:t>ივ</w:t>
      </w:r>
      <w:r w:rsidR="007556C1">
        <w:rPr>
          <w:b/>
          <w:lang w:val="ka-GE"/>
        </w:rPr>
        <w:t>ლისი</w:t>
      </w:r>
    </w:p>
    <w:p w14:paraId="6FF04384" w14:textId="7E8F5B5B" w:rsidR="002B01AD" w:rsidRPr="007556C1" w:rsidRDefault="002B01AD" w:rsidP="007A26D0">
      <w:pPr>
        <w:jc w:val="center"/>
        <w:rPr>
          <w:b/>
          <w:sz w:val="24"/>
          <w:szCs w:val="24"/>
        </w:rPr>
      </w:pPr>
      <w:r w:rsidRPr="009378F4">
        <w:rPr>
          <w:b/>
          <w:sz w:val="24"/>
          <w:szCs w:val="24"/>
          <w:lang w:val="ka-GE"/>
        </w:rPr>
        <w:t xml:space="preserve">ოქმი </w:t>
      </w:r>
      <w:r w:rsidRPr="009378F4">
        <w:rPr>
          <w:rFonts w:ascii="AcadNusx" w:hAnsi="AcadNusx"/>
          <w:b/>
          <w:sz w:val="24"/>
          <w:szCs w:val="24"/>
          <w:lang w:val="ka-GE"/>
        </w:rPr>
        <w:t>#</w:t>
      </w:r>
      <w:r w:rsidR="007556C1">
        <w:rPr>
          <w:b/>
          <w:sz w:val="24"/>
          <w:szCs w:val="24"/>
        </w:rPr>
        <w:t>9</w:t>
      </w:r>
    </w:p>
    <w:p w14:paraId="0D94E7C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სხდომის ჩატარების ადგილი  -  </w:t>
      </w:r>
      <w:r w:rsidRPr="009378F4">
        <w:rPr>
          <w:lang w:val="ka-GE"/>
        </w:rPr>
        <w:t>საქართ</w:t>
      </w:r>
      <w:r w:rsidR="00FF5ED2" w:rsidRPr="009378F4">
        <w:rPr>
          <w:lang w:val="ka-GE"/>
        </w:rPr>
        <w:t>ვ</w:t>
      </w:r>
      <w:r w:rsidRPr="009378F4">
        <w:rPr>
          <w:lang w:val="ka-GE"/>
        </w:rPr>
        <w:t xml:space="preserve">ელოს </w:t>
      </w:r>
      <w:r w:rsidR="007865CE" w:rsidRPr="009378F4">
        <w:rPr>
          <w:lang w:val="ka-GE"/>
        </w:rPr>
        <w:t xml:space="preserve">ოკუპირებული ტერიტორიებიდან დევნილთა, </w:t>
      </w:r>
      <w:r w:rsidRPr="009378F4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9378F4">
        <w:rPr>
          <w:lang w:val="ka-GE"/>
        </w:rPr>
        <w:t>სამინისტრო</w:t>
      </w:r>
      <w:r w:rsidR="005B1508" w:rsidRPr="009378F4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</w:t>
      </w:r>
    </w:p>
    <w:p w14:paraId="2E140EF9" w14:textId="77777777" w:rsidR="007A26D0" w:rsidRPr="009378F4" w:rsidRDefault="007A26D0" w:rsidP="007A26D0">
      <w:pPr>
        <w:rPr>
          <w:b/>
          <w:lang w:val="ka-GE"/>
        </w:rPr>
      </w:pPr>
      <w:r w:rsidRPr="009378F4">
        <w:rPr>
          <w:b/>
          <w:lang w:val="ka-GE"/>
        </w:rPr>
        <w:t xml:space="preserve">სხდომას უძღვებოდა:                </w:t>
      </w:r>
      <w:r w:rsidR="00391E4F" w:rsidRPr="009378F4">
        <w:rPr>
          <w:b/>
          <w:lang w:val="ka-GE"/>
        </w:rPr>
        <w:t xml:space="preserve">   </w:t>
      </w:r>
      <w:r w:rsidRPr="009378F4">
        <w:rPr>
          <w:b/>
          <w:lang w:val="ka-GE"/>
        </w:rPr>
        <w:t xml:space="preserve">     </w:t>
      </w:r>
      <w:r w:rsidR="000A79C2" w:rsidRPr="009378F4">
        <w:rPr>
          <w:lang w:val="ka-GE"/>
        </w:rPr>
        <w:t>თამილა ბარკალაია</w:t>
      </w:r>
    </w:p>
    <w:p w14:paraId="528F35A8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  <w:r w:rsidRPr="009378F4">
        <w:rPr>
          <w:b/>
          <w:lang w:val="ka-GE"/>
        </w:rPr>
        <w:t>ესწრებოდნენ:</w:t>
      </w:r>
      <w:r w:rsidRPr="009378F4">
        <w:rPr>
          <w:b/>
          <w:lang w:val="ka-GE"/>
        </w:rPr>
        <w:tab/>
        <w:t xml:space="preserve">  </w:t>
      </w:r>
    </w:p>
    <w:p w14:paraId="5B0A47A5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</w:t>
      </w:r>
      <w:r w:rsidRPr="009378F4">
        <w:rPr>
          <w:b/>
          <w:lang w:val="ka-GE"/>
        </w:rPr>
        <w:t xml:space="preserve"> </w:t>
      </w:r>
      <w:r w:rsidR="007A26D0" w:rsidRPr="009378F4">
        <w:rPr>
          <w:b/>
          <w:lang w:val="ka-GE"/>
        </w:rPr>
        <w:t xml:space="preserve">წევრები:        </w:t>
      </w:r>
      <w:r w:rsidR="007865CE" w:rsidRPr="009378F4">
        <w:rPr>
          <w:b/>
          <w:lang w:val="ka-GE"/>
        </w:rPr>
        <w:t xml:space="preserve">    </w:t>
      </w:r>
      <w:r w:rsidR="00391E4F" w:rsidRPr="009378F4">
        <w:rPr>
          <w:rFonts w:eastAsia="Times New Roman" w:cs="Sylfaen"/>
          <w:color w:val="000000"/>
          <w:lang w:val="ka-GE"/>
        </w:rPr>
        <w:t>გ.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დგებუაძე; ნ.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ჩანადირი; თ.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38F5A239" w:rsidR="006B1820" w:rsidRPr="009378F4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9378F4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</w:t>
      </w:r>
      <w:r w:rsidR="00CF65D3" w:rsidRPr="009378F4">
        <w:rPr>
          <w:rFonts w:eastAsia="Times New Roman" w:cs="Sylfaen"/>
          <w:color w:val="000000"/>
          <w:lang w:val="ka-GE"/>
        </w:rPr>
        <w:t xml:space="preserve">   </w:t>
      </w:r>
      <w:r w:rsidRPr="009378F4">
        <w:rPr>
          <w:rFonts w:eastAsia="Times New Roman" w:cs="Sylfaen"/>
          <w:color w:val="000000"/>
          <w:lang w:val="ka-GE"/>
        </w:rPr>
        <w:t>დ.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მეტრ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ვ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ლი; ე.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მიქაბაძე; ზ.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სანიკიძე; გ.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ჭავჭავაძე</w:t>
      </w:r>
      <w:r w:rsidR="006B1820" w:rsidRPr="009378F4">
        <w:rPr>
          <w:rFonts w:eastAsia="Times New Roman" w:cs="Sylfaen"/>
          <w:color w:val="000000"/>
          <w:lang w:val="ka-GE"/>
        </w:rPr>
        <w:t>;</w:t>
      </w:r>
    </w:p>
    <w:p w14:paraId="4C6EEA59" w14:textId="32BB88D5" w:rsidR="006B182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 </w:t>
      </w:r>
      <w:r w:rsidR="00C80755">
        <w:rPr>
          <w:rFonts w:eastAsia="Times New Roman" w:cs="Sylfae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გ</w:t>
      </w:r>
      <w:r w:rsidR="00FF5ED2" w:rsidRPr="009378F4">
        <w:rPr>
          <w:rFonts w:eastAsia="Times New Roman" w:cs="Sylfaen"/>
          <w:color w:val="000000"/>
          <w:lang w:val="ka-GE"/>
        </w:rPr>
        <w:t>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9378F4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9378F4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9378F4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9378F4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9378F4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9378F4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9378F4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76116F22" w14:textId="21D87C2C" w:rsidR="005346DA" w:rsidRPr="009378F4" w:rsidRDefault="005346DA" w:rsidP="002E4500">
      <w:pPr>
        <w:spacing w:after="0"/>
        <w:rPr>
          <w:lang w:val="ka-GE"/>
        </w:rPr>
      </w:pPr>
      <w:r w:rsidRPr="009378F4">
        <w:rPr>
          <w:b/>
          <w:lang w:val="ka-GE"/>
        </w:rPr>
        <w:t xml:space="preserve">კომისიის </w:t>
      </w:r>
      <w:r w:rsidR="00FF5ED2" w:rsidRPr="009378F4">
        <w:rPr>
          <w:b/>
          <w:lang w:val="ka-GE"/>
        </w:rPr>
        <w:t xml:space="preserve">სამდივნო:           </w:t>
      </w:r>
      <w:r w:rsidR="00AB0A9C">
        <w:rPr>
          <w:b/>
          <w:lang w:val="ka-GE"/>
        </w:rPr>
        <w:t xml:space="preserve">     </w:t>
      </w:r>
      <w:r w:rsidR="002E4500">
        <w:rPr>
          <w:lang w:val="ka-GE"/>
        </w:rPr>
        <w:t xml:space="preserve">ლ. კლიმიაშვილი;  თ. გვარამაძე </w:t>
      </w:r>
    </w:p>
    <w:p w14:paraId="15E16749" w14:textId="77777777" w:rsidR="00ED288A" w:rsidRPr="009378F4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9378F4" w:rsidRDefault="005346DA" w:rsidP="004327A9">
      <w:pPr>
        <w:spacing w:after="0"/>
        <w:rPr>
          <w:b/>
          <w:color w:val="000000" w:themeColor="text1"/>
          <w:lang w:val="ka-GE"/>
        </w:rPr>
      </w:pPr>
      <w:r w:rsidRPr="009378F4">
        <w:rPr>
          <w:lang w:val="ka-GE"/>
        </w:rPr>
        <w:t xml:space="preserve">                            </w:t>
      </w:r>
    </w:p>
    <w:p w14:paraId="57392512" w14:textId="77777777" w:rsidR="0060282A" w:rsidRDefault="00E12A14" w:rsidP="00E12A14">
      <w:pPr>
        <w:jc w:val="both"/>
        <w:rPr>
          <w:rFonts w:cs="Sylfaen"/>
          <w:bCs/>
          <w:spacing w:val="4"/>
        </w:rPr>
      </w:pPr>
      <w:r w:rsidRPr="009378F4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9378F4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9378F4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9378F4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9378F4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9378F4">
        <w:rPr>
          <w:rFonts w:cs="Sylfaen"/>
          <w:bCs/>
          <w:spacing w:val="4"/>
          <w:lang w:val="ka-GE"/>
        </w:rPr>
        <w:t>გადაწყვეტილების მიღება.</w:t>
      </w:r>
    </w:p>
    <w:p w14:paraId="06285EDF" w14:textId="77777777" w:rsidR="0060282A" w:rsidRDefault="0060282A" w:rsidP="00E12A14">
      <w:pPr>
        <w:jc w:val="both"/>
        <w:rPr>
          <w:rFonts w:cs="Sylfaen"/>
          <w:bCs/>
          <w:spacing w:val="4"/>
        </w:rPr>
      </w:pPr>
    </w:p>
    <w:p w14:paraId="67840156" w14:textId="4650004D" w:rsidR="00E12A14" w:rsidRPr="009378F4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9378F4">
        <w:rPr>
          <w:rFonts w:cs="Sylfaen"/>
          <w:bCs/>
          <w:spacing w:val="4"/>
          <w:lang w:val="ka-GE"/>
        </w:rPr>
        <w:lastRenderedPageBreak/>
        <w:t xml:space="preserve">  </w:t>
      </w:r>
    </w:p>
    <w:p w14:paraId="07BA2549" w14:textId="77777777" w:rsidR="0064770B" w:rsidRDefault="0064770B" w:rsidP="0064770B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 w:rsidRPr="00D93C2C">
        <w:rPr>
          <w:lang w:val="ka-GE"/>
        </w:rPr>
        <w:t xml:space="preserve">  </w:t>
      </w:r>
      <w:r>
        <w:t>147 821</w:t>
      </w:r>
      <w:r>
        <w:rPr>
          <w:lang w:val="ka-GE"/>
        </w:rPr>
        <w:t xml:space="preserve"> </w:t>
      </w:r>
      <w:r w:rsidRPr="00D93C2C">
        <w:rPr>
          <w:lang w:val="ka-GE"/>
        </w:rPr>
        <w:t xml:space="preserve"> </w:t>
      </w:r>
      <w:r>
        <w:rPr>
          <w:lang w:val="ka-GE"/>
        </w:rPr>
        <w:t>დან</w:t>
      </w:r>
      <w:r w:rsidRPr="00D93C2C">
        <w:rPr>
          <w:lang w:val="ka-GE"/>
        </w:rPr>
        <w:t xml:space="preserve"> – </w:t>
      </w:r>
      <w:r>
        <w:t>155 829</w:t>
      </w:r>
      <w:r w:rsidRPr="00D93C2C">
        <w:rPr>
          <w:lang w:val="ka-GE"/>
        </w:rPr>
        <w:t xml:space="preserve"> 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0B3507A9" w14:textId="77777777" w:rsidR="0064770B" w:rsidRDefault="0064770B" w:rsidP="0064770B">
      <w:pPr>
        <w:jc w:val="both"/>
        <w:rPr>
          <w:rFonts w:eastAsia="Sylfaen" w:cs="Arial"/>
          <w:lang w:val="ka-GE"/>
        </w:rPr>
      </w:pPr>
      <w:r>
        <w:rPr>
          <w:rFonts w:eastAsia="Sylfaen" w:cs="Arial"/>
        </w:rPr>
        <w:t xml:space="preserve">8 </w:t>
      </w:r>
      <w:proofErr w:type="gramStart"/>
      <w:r>
        <w:rPr>
          <w:rFonts w:eastAsia="Sylfaen" w:cs="Arial"/>
        </w:rPr>
        <w:t>009</w:t>
      </w:r>
      <w:r>
        <w:rPr>
          <w:rFonts w:eastAsia="Sylfaen" w:cs="Arial"/>
          <w:lang w:val="ka-GE"/>
        </w:rPr>
        <w:t xml:space="preserve">  რეგისტრირებული</w:t>
      </w:r>
      <w:proofErr w:type="gramEnd"/>
      <w:r>
        <w:rPr>
          <w:rFonts w:eastAsia="Sylfaen" w:cs="Arial"/>
          <w:lang w:val="ka-GE"/>
        </w:rPr>
        <w:t xml:space="preserve"> პირი ჩაიშალა შემდეგი სტატუსებით, ესენია:</w:t>
      </w:r>
    </w:p>
    <w:p w14:paraId="0C73A355" w14:textId="77777777" w:rsidR="0064770B" w:rsidRDefault="0064770B" w:rsidP="0064770B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არაკომისიური </w:t>
      </w:r>
      <w:r>
        <w:rPr>
          <w:rFonts w:eastAsia="Sylfaen" w:cs="Arial"/>
        </w:rPr>
        <w:t xml:space="preserve"> 3 189</w:t>
      </w:r>
      <w:r>
        <w:rPr>
          <w:rFonts w:eastAsia="Sylfaen" w:cs="Arial"/>
          <w:lang w:val="ka-GE"/>
        </w:rPr>
        <w:t xml:space="preserve"> (დანართი 1)</w:t>
      </w:r>
    </w:p>
    <w:p w14:paraId="4B4DAB8D" w14:textId="77777777" w:rsidR="0064770B" w:rsidRPr="005A14AD" w:rsidRDefault="0064770B" w:rsidP="0064770B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 xml:space="preserve"> 4 820</w:t>
      </w:r>
      <w:r>
        <w:rPr>
          <w:rFonts w:eastAsia="Sylfaen" w:cs="Arial"/>
          <w:b/>
          <w:lang w:val="ka-GE"/>
        </w:rPr>
        <w:t xml:space="preserve"> (დანართი 2)</w:t>
      </w:r>
    </w:p>
    <w:p w14:paraId="7DBB187C" w14:textId="77777777" w:rsidR="0064770B" w:rsidRDefault="0064770B" w:rsidP="0064770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უარყოფითი - </w:t>
      </w:r>
      <w:r>
        <w:rPr>
          <w:rFonts w:eastAsia="Sylfaen" w:cs="Arial"/>
        </w:rPr>
        <w:t xml:space="preserve"> 1 025</w:t>
      </w:r>
    </w:p>
    <w:p w14:paraId="0DA74C34" w14:textId="3499EAB5" w:rsidR="0064770B" w:rsidRDefault="00FE611D" w:rsidP="0064770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განსახილველი </w:t>
      </w:r>
      <w:r w:rsidR="0064770B">
        <w:rPr>
          <w:rFonts w:eastAsia="Sylfaen" w:cs="Arial"/>
          <w:lang w:val="ka-GE"/>
        </w:rPr>
        <w:t xml:space="preserve">- </w:t>
      </w:r>
      <w:r w:rsidR="0064770B">
        <w:rPr>
          <w:rFonts w:eastAsia="Sylfaen" w:cs="Arial"/>
        </w:rPr>
        <w:t>7</w:t>
      </w:r>
    </w:p>
    <w:p w14:paraId="662323CE" w14:textId="6FC1264A" w:rsidR="0064770B" w:rsidRDefault="0064770B" w:rsidP="0064770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დადებით</w:t>
      </w:r>
      <w:r w:rsidR="00FE611D">
        <w:rPr>
          <w:rFonts w:eastAsia="Sylfaen" w:cs="Arial"/>
          <w:lang w:val="ka-GE"/>
        </w:rPr>
        <w:t>ი</w:t>
      </w:r>
      <w:r>
        <w:rPr>
          <w:rFonts w:eastAsia="Sylfaen" w:cs="Arial"/>
          <w:lang w:val="ka-GE"/>
        </w:rPr>
        <w:t xml:space="preserve"> - </w:t>
      </w:r>
      <w:r>
        <w:rPr>
          <w:rFonts w:eastAsia="Sylfaen" w:cs="Arial"/>
        </w:rPr>
        <w:t>2 063</w:t>
      </w:r>
    </w:p>
    <w:p w14:paraId="6D218986" w14:textId="77777777" w:rsidR="0064770B" w:rsidRPr="00D93C2C" w:rsidRDefault="0064770B" w:rsidP="0064770B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დასაკორექტირებელი - </w:t>
      </w:r>
      <w:r>
        <w:rPr>
          <w:rFonts w:eastAsia="Sylfaen" w:cs="Arial"/>
        </w:rPr>
        <w:t>1 725</w:t>
      </w:r>
    </w:p>
    <w:p w14:paraId="2D82A32E" w14:textId="77777777" w:rsidR="00E83BD7" w:rsidRPr="009378F4" w:rsidRDefault="00E83BD7" w:rsidP="00E83BD7">
      <w:pPr>
        <w:spacing w:after="0"/>
        <w:jc w:val="both"/>
        <w:rPr>
          <w:rFonts w:eastAsia="Sylfaen" w:cs="Arial"/>
        </w:rPr>
      </w:pPr>
    </w:p>
    <w:p w14:paraId="512644D2" w14:textId="2A972FF5" w:rsidR="005F00B3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 w:rsidR="0064770B">
        <w:rPr>
          <w:rFonts w:eastAsia="Sylfaen" w:cs="Arial"/>
          <w:lang w:val="ka-GE"/>
        </w:rPr>
        <w:t>კომისიის სხდომა გახსნა ნ. ველთაურმა</w:t>
      </w:r>
      <w:r w:rsidR="000B6AF1">
        <w:rPr>
          <w:rFonts w:eastAsia="Sylfaen" w:cs="Arial"/>
          <w:lang w:val="ka-GE"/>
        </w:rPr>
        <w:t xml:space="preserve"> და</w:t>
      </w:r>
      <w:r w:rsidR="0064770B">
        <w:rPr>
          <w:rFonts w:eastAsia="Sylfaen" w:cs="Arial"/>
          <w:lang w:val="ka-GE"/>
        </w:rPr>
        <w:t xml:space="preserve"> კომისიას მიაწოდა</w:t>
      </w:r>
      <w:r w:rsidR="00844309">
        <w:rPr>
          <w:rFonts w:eastAsia="Sylfaen" w:cs="Arial"/>
          <w:lang w:val="ka-GE"/>
        </w:rPr>
        <w:t xml:space="preserve"> </w:t>
      </w:r>
      <w:r w:rsidR="000B6AF1">
        <w:rPr>
          <w:rFonts w:eastAsia="Sylfaen" w:cs="Arial"/>
          <w:lang w:val="ka-GE"/>
        </w:rPr>
        <w:t xml:space="preserve">სტატისტიკური ინფორმაცია </w:t>
      </w:r>
      <w:r w:rsidR="00844309">
        <w:rPr>
          <w:rFonts w:eastAsia="Sylfaen" w:cs="Arial"/>
          <w:lang w:val="ka-GE"/>
        </w:rPr>
        <w:t>კომპსესაციის გაცემის თაობაზე</w:t>
      </w:r>
      <w:r w:rsidR="000B6AF1">
        <w:rPr>
          <w:rFonts w:eastAsia="Sylfaen" w:cs="Arial"/>
          <w:lang w:val="ka-GE"/>
        </w:rPr>
        <w:t>.</w:t>
      </w:r>
      <w:r w:rsidR="0064770B">
        <w:rPr>
          <w:rFonts w:eastAsia="Sylfaen" w:cs="Arial"/>
          <w:lang w:val="ka-GE"/>
        </w:rPr>
        <w:t xml:space="preserve"> ასევე, აღნიშნა რომ, რეგისტრირებული </w:t>
      </w:r>
      <w:r w:rsidR="000B6AF1">
        <w:rPr>
          <w:rFonts w:eastAsia="Sylfaen" w:cs="Arial"/>
          <w:lang w:val="ka-GE"/>
        </w:rPr>
        <w:t>თ</w:t>
      </w:r>
      <w:r w:rsidR="0064770B">
        <w:rPr>
          <w:rFonts w:eastAsia="Sylfaen" w:cs="Arial"/>
          <w:lang w:val="ka-GE"/>
        </w:rPr>
        <w:t>ვითდასაქმებულების რაოდენობის მაჩვენებელი გაიზარდა საზღვარგარეთ თვითდასა</w:t>
      </w:r>
      <w:r w:rsidR="000B6AF1">
        <w:rPr>
          <w:rFonts w:eastAsia="Sylfaen" w:cs="Arial"/>
          <w:lang w:val="ka-GE"/>
        </w:rPr>
        <w:t>ქ</w:t>
      </w:r>
      <w:r w:rsidR="0064770B">
        <w:rPr>
          <w:rFonts w:eastAsia="Sylfaen" w:cs="Arial"/>
          <w:lang w:val="ka-GE"/>
        </w:rPr>
        <w:t>მებულების რეგისტრა</w:t>
      </w:r>
      <w:r w:rsidR="00FE611D">
        <w:rPr>
          <w:rFonts w:eastAsia="Sylfaen" w:cs="Arial"/>
          <w:lang w:val="ka-GE"/>
        </w:rPr>
        <w:t>ც</w:t>
      </w:r>
      <w:r w:rsidR="0064770B">
        <w:rPr>
          <w:rFonts w:eastAsia="Sylfaen" w:cs="Arial"/>
          <w:lang w:val="ka-GE"/>
        </w:rPr>
        <w:t>იის ხარჯზე</w:t>
      </w:r>
      <w:r w:rsidR="005F00B3">
        <w:rPr>
          <w:rFonts w:eastAsia="Sylfaen" w:cs="Arial"/>
          <w:lang w:val="ka-GE"/>
        </w:rPr>
        <w:t xml:space="preserve">.   კომისიას </w:t>
      </w:r>
      <w:r w:rsidR="000B6AF1">
        <w:rPr>
          <w:rFonts w:eastAsia="Sylfaen" w:cs="Arial"/>
          <w:lang w:val="ka-GE"/>
        </w:rPr>
        <w:t>ე</w:t>
      </w:r>
      <w:r w:rsidR="005F00B3">
        <w:rPr>
          <w:rFonts w:eastAsia="Sylfaen" w:cs="Arial"/>
          <w:lang w:val="ka-GE"/>
        </w:rPr>
        <w:t xml:space="preserve">ცნობა, რომ </w:t>
      </w:r>
      <w:r w:rsidR="00844309">
        <w:rPr>
          <w:rFonts w:eastAsia="Sylfaen" w:cs="Arial"/>
          <w:lang w:val="ka-GE"/>
        </w:rPr>
        <w:t xml:space="preserve"> </w:t>
      </w:r>
      <w:r w:rsidR="000B6AF1">
        <w:rPr>
          <w:rFonts w:eastAsia="Sylfaen" w:cs="Arial"/>
          <w:lang w:val="ka-GE"/>
        </w:rPr>
        <w:t xml:space="preserve">3 ივლისის </w:t>
      </w:r>
      <w:r w:rsidR="00844309">
        <w:rPr>
          <w:rFonts w:eastAsia="Sylfaen" w:cs="Arial"/>
          <w:lang w:val="ka-GE"/>
        </w:rPr>
        <w:t xml:space="preserve">მდგომარეობით </w:t>
      </w:r>
      <w:r w:rsidR="005F00B3">
        <w:rPr>
          <w:rFonts w:eastAsia="Sylfaen" w:cs="Arial"/>
          <w:lang w:val="ka-GE"/>
        </w:rPr>
        <w:t>300 ლარიანი ერთჯერადი კომპესაციით</w:t>
      </w:r>
      <w:r w:rsidR="000B6AF1">
        <w:rPr>
          <w:rFonts w:eastAsia="Sylfaen" w:cs="Arial"/>
          <w:lang w:val="ka-GE"/>
        </w:rPr>
        <w:t xml:space="preserve"> დაკმაყოფილდა 109 495 პირი.</w:t>
      </w:r>
    </w:p>
    <w:p w14:paraId="47EBA34C" w14:textId="77777777" w:rsidR="00FD1F28" w:rsidRDefault="00FD1F28" w:rsidP="002B2B09">
      <w:pPr>
        <w:spacing w:after="0"/>
        <w:jc w:val="both"/>
        <w:rPr>
          <w:rFonts w:eastAsia="Sylfaen" w:cs="Arial"/>
          <w:lang w:val="ka-GE"/>
        </w:rPr>
      </w:pPr>
    </w:p>
    <w:p w14:paraId="41C95E3E" w14:textId="03B5DE4D" w:rsidR="00E422F5" w:rsidRDefault="00FD1F28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ამასთან,  კომისიას </w:t>
      </w:r>
      <w:r w:rsidR="000B6AF1">
        <w:rPr>
          <w:rFonts w:eastAsia="Sylfaen" w:cs="Arial"/>
          <w:lang w:val="ka-GE"/>
        </w:rPr>
        <w:t xml:space="preserve">ეცნობა, </w:t>
      </w:r>
      <w:r>
        <w:rPr>
          <w:rFonts w:eastAsia="Sylfaen" w:cs="Arial"/>
          <w:lang w:val="ka-GE"/>
        </w:rPr>
        <w:t>რომ პროგრამაში ცვლილების</w:t>
      </w:r>
      <w:r w:rsidR="00E422F5">
        <w:rPr>
          <w:rFonts w:eastAsia="Sylfaen" w:cs="Arial"/>
          <w:lang w:val="ka-GE"/>
        </w:rPr>
        <w:t xml:space="preserve"> შეტანის</w:t>
      </w:r>
      <w:r>
        <w:rPr>
          <w:rFonts w:eastAsia="Sylfaen" w:cs="Arial"/>
          <w:lang w:val="ka-GE"/>
        </w:rPr>
        <w:t xml:space="preserve"> შემ</w:t>
      </w:r>
      <w:r w:rsidR="00FE611D">
        <w:rPr>
          <w:rFonts w:eastAsia="Sylfaen" w:cs="Arial"/>
          <w:lang w:val="ka-GE"/>
        </w:rPr>
        <w:t>დ</w:t>
      </w:r>
      <w:r>
        <w:rPr>
          <w:rFonts w:eastAsia="Sylfaen" w:cs="Arial"/>
          <w:lang w:val="ka-GE"/>
        </w:rPr>
        <w:t xml:space="preserve">გომ, </w:t>
      </w:r>
      <w:r w:rsidR="000B6AF1">
        <w:rPr>
          <w:rFonts w:eastAsia="Sylfaen" w:cs="Arial"/>
          <w:lang w:val="ka-GE"/>
        </w:rPr>
        <w:t xml:space="preserve">შემოსავლების სამსახურის მიერ ივნისის თვეში მოწოდებული </w:t>
      </w:r>
      <w:r>
        <w:rPr>
          <w:rFonts w:eastAsia="Sylfaen" w:cs="Arial"/>
          <w:lang w:val="ka-GE"/>
        </w:rPr>
        <w:t>200 ლარიანი კომპესაცი</w:t>
      </w:r>
      <w:r w:rsidR="000B6AF1">
        <w:rPr>
          <w:rFonts w:eastAsia="Sylfaen" w:cs="Arial"/>
          <w:lang w:val="ka-GE"/>
        </w:rPr>
        <w:t xml:space="preserve">ისმიმღებ პირთა სია </w:t>
      </w:r>
      <w:r>
        <w:rPr>
          <w:rFonts w:eastAsia="Sylfaen" w:cs="Arial"/>
          <w:lang w:val="ka-GE"/>
        </w:rPr>
        <w:t xml:space="preserve"> გაიზარდა და </w:t>
      </w:r>
      <w:r w:rsidR="00E422F5">
        <w:rPr>
          <w:rFonts w:eastAsia="Sylfaen" w:cs="Arial"/>
          <w:lang w:val="ka-GE"/>
        </w:rPr>
        <w:t>შ</w:t>
      </w:r>
      <w:r>
        <w:rPr>
          <w:rFonts w:eastAsia="Sylfaen" w:cs="Arial"/>
          <w:lang w:val="ka-GE"/>
        </w:rPr>
        <w:t>ე</w:t>
      </w:r>
      <w:r w:rsidR="000B6AF1">
        <w:rPr>
          <w:rFonts w:eastAsia="Sylfaen" w:cs="Arial"/>
          <w:lang w:val="ka-GE"/>
        </w:rPr>
        <w:t>ადგენს</w:t>
      </w:r>
      <w:r>
        <w:rPr>
          <w:rFonts w:eastAsia="Sylfaen" w:cs="Arial"/>
          <w:lang w:val="ka-GE"/>
        </w:rPr>
        <w:t xml:space="preserve"> 125 510</w:t>
      </w:r>
      <w:r w:rsidR="00E422F5">
        <w:rPr>
          <w:rFonts w:eastAsia="Sylfaen" w:cs="Arial"/>
          <w:lang w:val="ka-GE"/>
        </w:rPr>
        <w:t xml:space="preserve"> პირ</w:t>
      </w:r>
      <w:r w:rsidR="000B6AF1">
        <w:rPr>
          <w:rFonts w:eastAsia="Sylfaen" w:cs="Arial"/>
          <w:lang w:val="ka-GE"/>
        </w:rPr>
        <w:t>ს</w:t>
      </w:r>
      <w:r w:rsidR="00E422F5">
        <w:rPr>
          <w:rFonts w:eastAsia="Sylfaen" w:cs="Arial"/>
          <w:lang w:val="ka-GE"/>
        </w:rPr>
        <w:t xml:space="preserve">. </w:t>
      </w:r>
      <w:r>
        <w:rPr>
          <w:rFonts w:eastAsia="Sylfaen" w:cs="Arial"/>
          <w:lang w:val="ka-GE"/>
        </w:rPr>
        <w:t xml:space="preserve"> სიების </w:t>
      </w:r>
      <w:r w:rsidR="000B6AF1">
        <w:rPr>
          <w:rFonts w:eastAsia="Sylfaen" w:cs="Arial"/>
          <w:lang w:val="ka-GE"/>
        </w:rPr>
        <w:t xml:space="preserve">შედარების </w:t>
      </w:r>
      <w:r>
        <w:rPr>
          <w:rFonts w:eastAsia="Sylfaen" w:cs="Arial"/>
          <w:lang w:val="ka-GE"/>
        </w:rPr>
        <w:t xml:space="preserve">დროს </w:t>
      </w:r>
      <w:r w:rsidR="00E422F5">
        <w:rPr>
          <w:rFonts w:eastAsia="Sylfaen" w:cs="Arial"/>
          <w:lang w:val="ka-GE"/>
        </w:rPr>
        <w:t>აღ</w:t>
      </w:r>
      <w:r>
        <w:rPr>
          <w:rFonts w:eastAsia="Sylfaen" w:cs="Arial"/>
          <w:lang w:val="ka-GE"/>
        </w:rPr>
        <w:t>მოჩნდა, რომ 267 პირი</w:t>
      </w:r>
      <w:r w:rsidR="000B6AF1">
        <w:rPr>
          <w:rFonts w:eastAsia="Sylfaen" w:cs="Arial"/>
          <w:lang w:val="ka-GE"/>
        </w:rPr>
        <w:t xml:space="preserve"> უკვე იყო </w:t>
      </w:r>
      <w:r>
        <w:rPr>
          <w:rFonts w:eastAsia="Sylfaen" w:cs="Arial"/>
          <w:lang w:val="ka-GE"/>
        </w:rPr>
        <w:t xml:space="preserve"> </w:t>
      </w:r>
      <w:r w:rsidR="00E422F5">
        <w:rPr>
          <w:rFonts w:eastAsia="Sylfaen" w:cs="Arial"/>
          <w:lang w:val="ka-GE"/>
        </w:rPr>
        <w:t>ბაზაშ</w:t>
      </w:r>
      <w:r>
        <w:rPr>
          <w:rFonts w:eastAsia="Sylfaen" w:cs="Arial"/>
          <w:lang w:val="ka-GE"/>
        </w:rPr>
        <w:t>ი დარეგისტრირებული როგორც თვითდასაქმებული</w:t>
      </w:r>
      <w:r w:rsidR="000B6AF1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უკვე </w:t>
      </w:r>
      <w:r w:rsidR="000B6AF1">
        <w:rPr>
          <w:rFonts w:eastAsia="Sylfaen" w:cs="Arial"/>
          <w:lang w:val="ka-GE"/>
        </w:rPr>
        <w:t xml:space="preserve">ჩაერიცხათ </w:t>
      </w:r>
      <w:r>
        <w:rPr>
          <w:rFonts w:eastAsia="Sylfaen" w:cs="Arial"/>
          <w:lang w:val="ka-GE"/>
        </w:rPr>
        <w:t>300 ლარიანი კომპესაცია</w:t>
      </w:r>
      <w:r w:rsidR="000B6AF1">
        <w:rPr>
          <w:rFonts w:eastAsia="Sylfaen" w:cs="Arial"/>
          <w:lang w:val="ka-GE"/>
        </w:rPr>
        <w:t xml:space="preserve"> და შესაბამისად </w:t>
      </w:r>
      <w:r>
        <w:rPr>
          <w:rFonts w:eastAsia="Sylfaen" w:cs="Arial"/>
          <w:lang w:val="ka-GE"/>
        </w:rPr>
        <w:t xml:space="preserve"> </w:t>
      </w:r>
      <w:r w:rsidR="000B6AF1">
        <w:rPr>
          <w:rFonts w:eastAsia="Sylfaen" w:cs="Arial"/>
          <w:lang w:val="ka-GE"/>
        </w:rPr>
        <w:t>ამასთან დაკავშირებით, მომხსენებელმა განაცხადა,</w:t>
      </w:r>
      <w:r w:rsidR="00E422F5">
        <w:rPr>
          <w:rFonts w:eastAsia="Sylfaen" w:cs="Arial"/>
          <w:lang w:val="ka-GE"/>
        </w:rPr>
        <w:t xml:space="preserve">  ვეღარ მოხვდებიან  200 ლარიან </w:t>
      </w:r>
      <w:r w:rsidR="000B6AF1">
        <w:rPr>
          <w:rFonts w:eastAsia="Sylfaen" w:cs="Arial"/>
          <w:lang w:val="ka-GE"/>
        </w:rPr>
        <w:t>კ</w:t>
      </w:r>
      <w:r w:rsidR="00E422F5">
        <w:rPr>
          <w:rFonts w:eastAsia="Sylfaen" w:cs="Arial"/>
          <w:lang w:val="ka-GE"/>
        </w:rPr>
        <w:t>ომპე</w:t>
      </w:r>
      <w:r w:rsidR="000B6AF1">
        <w:rPr>
          <w:rFonts w:eastAsia="Sylfaen" w:cs="Arial"/>
          <w:lang w:val="ka-GE"/>
        </w:rPr>
        <w:t>ნ</w:t>
      </w:r>
      <w:r w:rsidR="00E422F5">
        <w:rPr>
          <w:rFonts w:eastAsia="Sylfaen" w:cs="Arial"/>
          <w:lang w:val="ka-GE"/>
        </w:rPr>
        <w:t>საციის მიმღებ პირ</w:t>
      </w:r>
      <w:r w:rsidR="000B6AF1">
        <w:rPr>
          <w:rFonts w:eastAsia="Sylfaen" w:cs="Arial"/>
          <w:lang w:val="ka-GE"/>
        </w:rPr>
        <w:t>თა სიაში. ,</w:t>
      </w:r>
      <w:r w:rsidR="00E422F5">
        <w:rPr>
          <w:rFonts w:eastAsia="Sylfaen" w:cs="Arial"/>
          <w:lang w:val="ka-GE"/>
        </w:rPr>
        <w:t xml:space="preserve">  ასევე აღ</w:t>
      </w:r>
      <w:r w:rsidR="000B6AF1">
        <w:rPr>
          <w:rFonts w:eastAsia="Sylfaen" w:cs="Arial"/>
          <w:lang w:val="ka-GE"/>
        </w:rPr>
        <w:t>ი</w:t>
      </w:r>
      <w:r w:rsidR="00E422F5">
        <w:rPr>
          <w:rFonts w:eastAsia="Sylfaen" w:cs="Arial"/>
          <w:lang w:val="ka-GE"/>
        </w:rPr>
        <w:t>ნიშნა, რომ 345 პირი, რომლიც რეგისტრირებულია ბაზაში როგორც თვითდასაქმებული</w:t>
      </w:r>
      <w:r w:rsidR="000B6AF1">
        <w:rPr>
          <w:rFonts w:eastAsia="Sylfaen" w:cs="Arial"/>
          <w:lang w:val="ka-GE"/>
        </w:rPr>
        <w:t>,</w:t>
      </w:r>
      <w:r w:rsidR="00E422F5">
        <w:rPr>
          <w:rFonts w:eastAsia="Sylfaen" w:cs="Arial"/>
          <w:lang w:val="ka-GE"/>
        </w:rPr>
        <w:t>გადაინაცვლებს 200 ლარიან კომპე</w:t>
      </w:r>
      <w:r w:rsidR="00FE611D">
        <w:rPr>
          <w:rFonts w:eastAsia="Sylfaen" w:cs="Arial"/>
          <w:lang w:val="ka-GE"/>
        </w:rPr>
        <w:t>ნ</w:t>
      </w:r>
      <w:r w:rsidR="00E422F5">
        <w:rPr>
          <w:rFonts w:eastAsia="Sylfaen" w:cs="Arial"/>
          <w:lang w:val="ka-GE"/>
        </w:rPr>
        <w:t>საციის მიმღებთა სიაში.</w:t>
      </w:r>
    </w:p>
    <w:p w14:paraId="2181D92E" w14:textId="77777777" w:rsidR="00E422F5" w:rsidRDefault="00E422F5" w:rsidP="002B2B09">
      <w:pPr>
        <w:spacing w:after="0"/>
        <w:jc w:val="both"/>
        <w:rPr>
          <w:rFonts w:eastAsia="Sylfaen" w:cs="Arial"/>
          <w:lang w:val="ka-GE"/>
        </w:rPr>
      </w:pPr>
    </w:p>
    <w:p w14:paraId="367A2A15" w14:textId="5BA6473C" w:rsidR="00E422F5" w:rsidRDefault="006D0497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გარკვეული მ</w:t>
      </w:r>
      <w:r w:rsidR="00FE611D">
        <w:rPr>
          <w:rFonts w:eastAsia="Sylfaen" w:cs="Arial"/>
          <w:lang w:val="ka-GE"/>
        </w:rPr>
        <w:t>ი</w:t>
      </w:r>
      <w:r>
        <w:rPr>
          <w:rFonts w:eastAsia="Sylfaen" w:cs="Arial"/>
          <w:lang w:val="ka-GE"/>
        </w:rPr>
        <w:t>ზეზების გამო</w:t>
      </w:r>
      <w:r w:rsidR="00FE611D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</w:t>
      </w:r>
      <w:r w:rsidR="000B6AF1">
        <w:rPr>
          <w:rFonts w:eastAsia="Sylfaen" w:cs="Arial"/>
          <w:lang w:val="ka-GE"/>
        </w:rPr>
        <w:t xml:space="preserve"> მომხსენებელმა</w:t>
      </w:r>
      <w:r>
        <w:rPr>
          <w:rFonts w:eastAsia="Sylfaen" w:cs="Arial"/>
          <w:lang w:val="ka-GE"/>
        </w:rPr>
        <w:t xml:space="preserve"> დამატებით განიხილა და შეათანხმა კომისიასთან </w:t>
      </w:r>
      <w:r w:rsidR="000B6AF1">
        <w:rPr>
          <w:rFonts w:eastAsia="Sylfaen" w:cs="Arial"/>
          <w:lang w:val="ka-GE"/>
        </w:rPr>
        <w:t xml:space="preserve">საკითხი </w:t>
      </w:r>
      <w:r>
        <w:rPr>
          <w:rFonts w:eastAsia="Sylfaen" w:cs="Arial"/>
          <w:lang w:val="ka-GE"/>
        </w:rPr>
        <w:t>იმ პირთა კომპე</w:t>
      </w:r>
      <w:r w:rsidR="00FE611D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 xml:space="preserve">საციის გაცემის ან არ გაცემის თაობაზე, რომლებიც გარდაიცვალნენ რეგისტრაციის შემდგომ  და  კიდევ ერთხელ შედგა შეთანხმება, </w:t>
      </w:r>
      <w:r w:rsidRPr="00094B5E">
        <w:rPr>
          <w:rFonts w:eastAsia="Sylfaen" w:cs="Arial"/>
          <w:lang w:val="ka-GE"/>
        </w:rPr>
        <w:t>რომ 200 ლარიანი კომპე</w:t>
      </w:r>
      <w:r>
        <w:rPr>
          <w:rFonts w:eastAsia="Sylfaen" w:cs="Arial"/>
          <w:lang w:val="ka-GE"/>
        </w:rPr>
        <w:t>ნ</w:t>
      </w:r>
      <w:r w:rsidRPr="00094B5E">
        <w:rPr>
          <w:rFonts w:eastAsia="Sylfaen" w:cs="Arial"/>
          <w:lang w:val="ka-GE"/>
        </w:rPr>
        <w:t>საციის მიმღები პირი თუ გარდაიცვალა მ/წლის მაისის თვეში</w:t>
      </w:r>
      <w:r>
        <w:rPr>
          <w:rFonts w:eastAsia="Sylfaen" w:cs="Arial"/>
          <w:lang w:val="ka-GE"/>
        </w:rPr>
        <w:t>,</w:t>
      </w:r>
      <w:r w:rsidRPr="00094B5E">
        <w:rPr>
          <w:rFonts w:eastAsia="Sylfaen" w:cs="Arial"/>
          <w:lang w:val="ka-GE"/>
        </w:rPr>
        <w:t xml:space="preserve"> ეკუთვნის 2 თვის </w:t>
      </w:r>
      <w:r>
        <w:rPr>
          <w:rFonts w:eastAsia="Sylfaen" w:cs="Arial"/>
          <w:lang w:val="ka-GE"/>
        </w:rPr>
        <w:t>კ</w:t>
      </w:r>
      <w:r w:rsidRPr="00094B5E">
        <w:rPr>
          <w:rFonts w:eastAsia="Sylfaen" w:cs="Arial"/>
          <w:lang w:val="ka-GE"/>
        </w:rPr>
        <w:t>ომპე</w:t>
      </w:r>
      <w:r>
        <w:rPr>
          <w:rFonts w:eastAsia="Sylfaen" w:cs="Arial"/>
          <w:lang w:val="ka-GE"/>
        </w:rPr>
        <w:t>ნ</w:t>
      </w:r>
      <w:r w:rsidRPr="00094B5E">
        <w:rPr>
          <w:rFonts w:eastAsia="Sylfaen" w:cs="Arial"/>
          <w:lang w:val="ka-GE"/>
        </w:rPr>
        <w:t>საცია (აპრილის, მაისის).  300 ლარიანი კომპე</w:t>
      </w:r>
      <w:r w:rsidR="00FE611D">
        <w:rPr>
          <w:rFonts w:eastAsia="Sylfaen" w:cs="Arial"/>
          <w:lang w:val="ka-GE"/>
        </w:rPr>
        <w:t>ნ</w:t>
      </w:r>
      <w:r w:rsidRPr="00094B5E">
        <w:rPr>
          <w:rFonts w:eastAsia="Sylfaen" w:cs="Arial"/>
          <w:lang w:val="ka-GE"/>
        </w:rPr>
        <w:t>საციის მიმღებ პირებ</w:t>
      </w:r>
      <w:r w:rsidR="000B6AF1">
        <w:rPr>
          <w:rFonts w:eastAsia="Sylfaen" w:cs="Arial"/>
          <w:lang w:val="ka-GE"/>
        </w:rPr>
        <w:t>ს</w:t>
      </w:r>
      <w:r>
        <w:rPr>
          <w:rFonts w:eastAsia="Sylfaen" w:cs="Arial"/>
          <w:lang w:val="ka-GE"/>
        </w:rPr>
        <w:t>, რომლებიც გარდაიცვალნენ რეგისტრაციის შემდგომ</w:t>
      </w:r>
      <w:r w:rsidR="000B6AF1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უნდა მიეცეთ კუთვნილი კომპე</w:t>
      </w:r>
      <w:r w:rsidR="00FE611D">
        <w:rPr>
          <w:rFonts w:eastAsia="Sylfaen" w:cs="Arial"/>
          <w:lang w:val="ka-GE"/>
        </w:rPr>
        <w:t>ნ</w:t>
      </w:r>
      <w:r>
        <w:rPr>
          <w:rFonts w:eastAsia="Sylfaen" w:cs="Arial"/>
          <w:lang w:val="ka-GE"/>
        </w:rPr>
        <w:t xml:space="preserve">საცია. </w:t>
      </w:r>
    </w:p>
    <w:p w14:paraId="798CC250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679F4D38" w14:textId="696BA974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>
        <w:rPr>
          <w:rFonts w:cs="Sylfaen"/>
          <w:lang w:val="ka-GE"/>
        </w:rPr>
        <w:t xml:space="preserve">რაც შეეხება პროგრამის მე-2 მუხლის პირველი პუნქტის „ვ“ ქვეპუნქტით გათვალისწინებულ </w:t>
      </w:r>
      <w:r>
        <w:rPr>
          <w:lang w:val="ka-GE"/>
        </w:rPr>
        <w:t xml:space="preserve">პორტალზე დარეგისტრირებულ პირთა განაცხადებების განხილვას, მომხსენებელმა კომისიას აცნობა, რომ  წარმოდგენილი  </w:t>
      </w:r>
      <w:r>
        <w:rPr>
          <w:rFonts w:eastAsia="Sylfaen" w:cs="Arial"/>
          <w:b/>
          <w:lang w:val="ka-GE"/>
        </w:rPr>
        <w:t xml:space="preserve"> </w:t>
      </w:r>
      <w:r w:rsidR="006D0497">
        <w:rPr>
          <w:rFonts w:eastAsia="Sylfaen" w:cs="Arial"/>
          <w:b/>
          <w:lang w:val="ka-GE"/>
        </w:rPr>
        <w:t xml:space="preserve">8 009 </w:t>
      </w:r>
      <w:r>
        <w:rPr>
          <w:rFonts w:eastAsia="Sylfaen" w:cs="Arial"/>
          <w:lang w:val="ka-GE"/>
        </w:rPr>
        <w:t xml:space="preserve">განაცხადიდან  </w:t>
      </w:r>
      <w:r>
        <w:rPr>
          <w:rFonts w:eastAsia="Sylfaen" w:cs="Arial"/>
          <w:b/>
          <w:lang w:val="ka-GE"/>
        </w:rPr>
        <w:t xml:space="preserve"> </w:t>
      </w:r>
      <w:r w:rsidR="000B6AF1">
        <w:rPr>
          <w:rFonts w:eastAsia="Sylfaen" w:cs="Arial"/>
          <w:lang w:val="ka-GE"/>
        </w:rPr>
        <w:t>პროგრამით განსაზღვრული მოთხოვნების გათვალისწინებით,  2 063 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აკმაყოფილებდა ყველა მოთხოვნას</w:t>
      </w:r>
      <w:r w:rsidR="000B6AF1">
        <w:rPr>
          <w:rFonts w:eastAsia="Sylfaen" w:cs="Arial"/>
        </w:rPr>
        <w:t>.</w:t>
      </w:r>
      <w:r w:rsidR="000B6AF1">
        <w:rPr>
          <w:rFonts w:eastAsia="Sylfaen" w:cs="Arial"/>
          <w:lang w:val="ka-GE"/>
        </w:rPr>
        <w:t xml:space="preserve">     1 025</w:t>
      </w:r>
      <w:r w:rsidR="000B6AF1">
        <w:rPr>
          <w:rFonts w:eastAsia="Sylfaen" w:cs="Arial"/>
        </w:rPr>
        <w:t xml:space="preserve">  </w:t>
      </w:r>
      <w:r w:rsidR="000B6AF1">
        <w:rPr>
          <w:rFonts w:eastAsia="Sylfaen" w:cs="Arial"/>
          <w:lang w:val="ka-GE"/>
        </w:rPr>
        <w:t xml:space="preserve">განმცხადებელს,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</w:t>
      </w:r>
      <w:r w:rsidR="000B6AF1">
        <w:rPr>
          <w:rFonts w:eastAsia="Sylfaen" w:cs="Arial"/>
          <w:lang w:val="ka-GE"/>
        </w:rPr>
        <w:lastRenderedPageBreak/>
        <w:t>- მიენიჭა „უარყოფითი“ სტატუსი. 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562421F" w14:textId="77777777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</w:p>
    <w:p w14:paraId="058F84DE" w14:textId="01C58B0F" w:rsidR="002B2B09" w:rsidRDefault="002B2B09" w:rsidP="002B2B09">
      <w:pPr>
        <w:spacing w:after="0"/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b/>
          <w:i/>
          <w:lang w:val="ka-GE"/>
        </w:rPr>
        <w:t>კომისია ერთხმად დაეთანხმა სამუშაო ჯგუფის მიერ</w:t>
      </w:r>
      <w:r w:rsidR="00CF2700">
        <w:rPr>
          <w:rFonts w:eastAsia="Sylfaen" w:cs="Arial"/>
          <w:b/>
          <w:i/>
        </w:rPr>
        <w:t xml:space="preserve"> </w:t>
      </w:r>
      <w:r>
        <w:rPr>
          <w:rFonts w:eastAsia="Sylfaen" w:cs="Arial"/>
          <w:b/>
          <w:i/>
          <w:lang w:val="ka-GE"/>
        </w:rPr>
        <w:t xml:space="preserve">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 კომპენსაციის ჩარიცხვის  უზრუნველყოფა. </w:t>
      </w:r>
    </w:p>
    <w:p w14:paraId="6DE8F7CF" w14:textId="77777777" w:rsidR="002B2B09" w:rsidRDefault="002B2B09" w:rsidP="002B2B09">
      <w:pPr>
        <w:spacing w:after="0"/>
        <w:jc w:val="both"/>
        <w:rPr>
          <w:rFonts w:eastAsia="Sylfaen" w:cs="Arial"/>
          <w:b/>
          <w:i/>
        </w:rPr>
      </w:pPr>
    </w:p>
    <w:p w14:paraId="1D77C520" w14:textId="116458A0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მომხსენებელმა ისაუბრა იმ ძირითად მიზეზებზე, რის საფუძველზეც განაცხადებს მიენიჭა „განსახილველი“ სტატუსი. კომისიის მიერ შემუშავდა დამატებითი კრიტერიუმები (დანართი</w:t>
      </w:r>
      <w:r w:rsidR="00F5377A">
        <w:rPr>
          <w:rFonts w:eastAsia="Sylfaen" w:cs="Arial"/>
        </w:rPr>
        <w:t xml:space="preserve"> </w:t>
      </w:r>
      <w:r>
        <w:rPr>
          <w:rFonts w:eastAsia="Sylfaen" w:cs="Arial"/>
        </w:rPr>
        <w:t>3</w:t>
      </w:r>
      <w:r>
        <w:rPr>
          <w:rFonts w:eastAsia="Sylfaen" w:cs="Arial"/>
          <w:lang w:val="ka-GE"/>
        </w:rPr>
        <w:t xml:space="preserve">). შემუშავებული კრიტერიუმების შესაბამისად, სამუშაო ჯგუფის მიერ განხორციელდება განაცხადების ხელახალი განხილვა და  შესაბამისი სტატუსის მინიჭება. </w:t>
      </w:r>
      <w:bookmarkStart w:id="0" w:name="_GoBack"/>
      <w:bookmarkEnd w:id="0"/>
    </w:p>
    <w:p w14:paraId="16D21918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1519779A" w14:textId="77777777" w:rsidR="002B2B09" w:rsidRDefault="002B2B09" w:rsidP="002B2B09">
      <w:pPr>
        <w:spacing w:after="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b/>
          <w:lang w:val="ka-GE"/>
        </w:rPr>
        <w:t>კომისიის გადაწყვეტილებით, დასაკორექტირებელ/მიღებულ განაცხადებზე განმცხადებლებს ექნებათ შესაძლებლობა დააზუსტონ/დააკორექტირონ მიმაგრებული დოკუმენტაცია, რის თაობაზეც მათ ეცნობებათ ტექსტური შეტყობინებით.</w:t>
      </w:r>
    </w:p>
    <w:p w14:paraId="0D0E062C" w14:textId="77777777" w:rsidR="002B2B09" w:rsidRDefault="002B2B09" w:rsidP="002B2B09">
      <w:pPr>
        <w:spacing w:after="0"/>
        <w:jc w:val="both"/>
        <w:rPr>
          <w:rFonts w:eastAsia="Sylfaen" w:cs="Arial"/>
          <w:lang w:val="ka-GE"/>
        </w:rPr>
      </w:pPr>
    </w:p>
    <w:p w14:paraId="092E6F66" w14:textId="752038FF" w:rsidR="00284F48" w:rsidRDefault="002B2B0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კომისიის გადაწყვეტილებით სამუშაო ჯგუფს დაევალა ზემოაღნიშნულის გათვალისწინებით განაცხადების იდენტიფიცირება და „დადებითი“ სტატუსის მქონე პირებზე, პროგრამით გათვალისწინებულ  ვადებში კომპესაციების გაცემა, ხოლო შემდგომში განცხადებების განხილვისას, შემუშავებული კრიტერიუმების გათვალისწინება.</w:t>
      </w:r>
    </w:p>
    <w:p w14:paraId="7C1B704D" w14:textId="77777777" w:rsidR="009A1689" w:rsidRDefault="009A1689" w:rsidP="002B2B09">
      <w:pPr>
        <w:spacing w:after="0"/>
        <w:jc w:val="both"/>
        <w:rPr>
          <w:rFonts w:eastAsia="Sylfaen" w:cs="Arial"/>
        </w:rPr>
      </w:pPr>
    </w:p>
    <w:p w14:paraId="63C7A797" w14:textId="28D42C71" w:rsidR="00F75678" w:rsidRPr="009378F4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9378F4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343CA43" w14:textId="77777777" w:rsidTr="00065AB2">
        <w:tc>
          <w:tcPr>
            <w:tcW w:w="5985" w:type="dxa"/>
          </w:tcPr>
          <w:p w14:paraId="46EEE7B5" w14:textId="77777777" w:rsidR="00F75678" w:rsidRPr="009378F4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9378F4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563BF17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DF3022F" w14:textId="77777777" w:rsidTr="00065AB2">
        <w:tc>
          <w:tcPr>
            <w:tcW w:w="5985" w:type="dxa"/>
          </w:tcPr>
          <w:p w14:paraId="4AB329A2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072B433E" w14:textId="77777777" w:rsidTr="00065AB2">
        <w:tc>
          <w:tcPr>
            <w:tcW w:w="5985" w:type="dxa"/>
          </w:tcPr>
          <w:p w14:paraId="7EA791A6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C712F5D" w14:textId="77777777" w:rsidTr="00065AB2">
        <w:tc>
          <w:tcPr>
            <w:tcW w:w="5985" w:type="dxa"/>
          </w:tcPr>
          <w:p w14:paraId="21BF431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0DC0F5F" w14:textId="77777777" w:rsidTr="00065AB2">
        <w:tc>
          <w:tcPr>
            <w:tcW w:w="5985" w:type="dxa"/>
          </w:tcPr>
          <w:p w14:paraId="2D32F055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5CA4FFB4" w14:textId="77777777" w:rsidTr="00065AB2">
        <w:tc>
          <w:tcPr>
            <w:tcW w:w="5985" w:type="dxa"/>
          </w:tcPr>
          <w:p w14:paraId="05467187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77AEEB89" w14:textId="77777777" w:rsidTr="000A7EDA">
        <w:tc>
          <w:tcPr>
            <w:tcW w:w="5985" w:type="dxa"/>
          </w:tcPr>
          <w:p w14:paraId="40F282F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3A86E38E" w14:textId="77777777" w:rsidTr="00065AB2">
        <w:tc>
          <w:tcPr>
            <w:tcW w:w="5985" w:type="dxa"/>
          </w:tcPr>
          <w:p w14:paraId="0C8ED1EC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9378F4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7E966E6A" w14:textId="77777777" w:rsidTr="00065AB2">
        <w:tc>
          <w:tcPr>
            <w:tcW w:w="5985" w:type="dxa"/>
          </w:tcPr>
          <w:p w14:paraId="63D497F9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9378F4" w14:paraId="2270AA1B" w14:textId="77777777" w:rsidTr="00065AB2">
        <w:tc>
          <w:tcPr>
            <w:tcW w:w="5985" w:type="dxa"/>
          </w:tcPr>
          <w:p w14:paraId="6C16D63C" w14:textId="77777777" w:rsidR="00124EB5" w:rsidRPr="009378F4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9378F4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9378F4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9378F4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 xml:space="preserve">ნინო </w:t>
            </w:r>
            <w:r w:rsidRPr="009378F4">
              <w:rPr>
                <w:rFonts w:eastAsia="Times New Roman" w:cs="Sylfaen"/>
                <w:color w:val="000000"/>
                <w:lang w:val="ka-GE"/>
              </w:rPr>
              <w:t xml:space="preserve"> </w:t>
            </w:r>
            <w:r w:rsidR="00124EB5" w:rsidRPr="009378F4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9378F4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1634C1EA" w14:textId="77777777" w:rsidTr="00065AB2">
        <w:tc>
          <w:tcPr>
            <w:tcW w:w="5985" w:type="dxa"/>
          </w:tcPr>
          <w:p w14:paraId="573A972A" w14:textId="01310BFF" w:rsidR="00F75678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მდივანი</w:t>
            </w:r>
            <w:r w:rsidR="00124EB5" w:rsidRPr="009378F4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9378F4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2E4500" w:rsidRPr="009378F4" w14:paraId="1ADBEFAD" w14:textId="77777777" w:rsidTr="00065AB2">
        <w:tc>
          <w:tcPr>
            <w:tcW w:w="5985" w:type="dxa"/>
          </w:tcPr>
          <w:p w14:paraId="3C13078E" w14:textId="77777777" w:rsidR="002E4500" w:rsidRPr="009378F4" w:rsidRDefault="002E4500" w:rsidP="002E450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27AC3078" w14:textId="77777777" w:rsidR="002E4500" w:rsidRPr="009378F4" w:rsidRDefault="002E4500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13CC2CB6" w14:textId="50605D8D" w:rsidR="002E4500" w:rsidRPr="009378F4" w:rsidRDefault="002E450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60282A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9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2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7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12"/>
  </w:num>
  <w:num w:numId="13">
    <w:abstractNumId w:val="8"/>
  </w:num>
  <w:num w:numId="14">
    <w:abstractNumId w:val="17"/>
  </w:num>
  <w:num w:numId="15">
    <w:abstractNumId w:val="2"/>
  </w:num>
  <w:num w:numId="16">
    <w:abstractNumId w:val="11"/>
  </w:num>
  <w:num w:numId="17">
    <w:abstractNumId w:val="6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660E3"/>
    <w:rsid w:val="00077BF8"/>
    <w:rsid w:val="00086C85"/>
    <w:rsid w:val="00092CF2"/>
    <w:rsid w:val="00094B5E"/>
    <w:rsid w:val="000A79C2"/>
    <w:rsid w:val="000A7EDA"/>
    <w:rsid w:val="000B66AB"/>
    <w:rsid w:val="000B6AF1"/>
    <w:rsid w:val="00103846"/>
    <w:rsid w:val="00124EB5"/>
    <w:rsid w:val="001320ED"/>
    <w:rsid w:val="00132462"/>
    <w:rsid w:val="00136C30"/>
    <w:rsid w:val="00187300"/>
    <w:rsid w:val="0019254E"/>
    <w:rsid w:val="00197D09"/>
    <w:rsid w:val="001A1960"/>
    <w:rsid w:val="001B32BF"/>
    <w:rsid w:val="001D2057"/>
    <w:rsid w:val="001E1A5A"/>
    <w:rsid w:val="001E2169"/>
    <w:rsid w:val="001F5E73"/>
    <w:rsid w:val="00213CB4"/>
    <w:rsid w:val="00241A6B"/>
    <w:rsid w:val="00244227"/>
    <w:rsid w:val="00262282"/>
    <w:rsid w:val="00270258"/>
    <w:rsid w:val="00284F48"/>
    <w:rsid w:val="002B01AD"/>
    <w:rsid w:val="002B1DD7"/>
    <w:rsid w:val="002B2B09"/>
    <w:rsid w:val="002C1BDC"/>
    <w:rsid w:val="002E4500"/>
    <w:rsid w:val="002F143D"/>
    <w:rsid w:val="002F2427"/>
    <w:rsid w:val="002F35DE"/>
    <w:rsid w:val="002F652D"/>
    <w:rsid w:val="00305573"/>
    <w:rsid w:val="003132F1"/>
    <w:rsid w:val="00316CAF"/>
    <w:rsid w:val="0032414D"/>
    <w:rsid w:val="00345325"/>
    <w:rsid w:val="003650DD"/>
    <w:rsid w:val="00365DE3"/>
    <w:rsid w:val="003750CC"/>
    <w:rsid w:val="00386AD4"/>
    <w:rsid w:val="00391E4F"/>
    <w:rsid w:val="003B4785"/>
    <w:rsid w:val="003B565E"/>
    <w:rsid w:val="003C6451"/>
    <w:rsid w:val="003D7D9D"/>
    <w:rsid w:val="003E6328"/>
    <w:rsid w:val="003F5AB9"/>
    <w:rsid w:val="00410607"/>
    <w:rsid w:val="00426D32"/>
    <w:rsid w:val="004327A9"/>
    <w:rsid w:val="00447BAA"/>
    <w:rsid w:val="0045016B"/>
    <w:rsid w:val="004714D9"/>
    <w:rsid w:val="004730E7"/>
    <w:rsid w:val="004B0937"/>
    <w:rsid w:val="004B41A8"/>
    <w:rsid w:val="004B5B8B"/>
    <w:rsid w:val="004D26B5"/>
    <w:rsid w:val="005346DA"/>
    <w:rsid w:val="00597707"/>
    <w:rsid w:val="005A15CA"/>
    <w:rsid w:val="005A45D1"/>
    <w:rsid w:val="005B1508"/>
    <w:rsid w:val="005D4D48"/>
    <w:rsid w:val="005E70CC"/>
    <w:rsid w:val="005F00B3"/>
    <w:rsid w:val="0060282A"/>
    <w:rsid w:val="00627218"/>
    <w:rsid w:val="00642B21"/>
    <w:rsid w:val="0064770B"/>
    <w:rsid w:val="0067497A"/>
    <w:rsid w:val="00685EA7"/>
    <w:rsid w:val="006947BB"/>
    <w:rsid w:val="00695E08"/>
    <w:rsid w:val="006B1820"/>
    <w:rsid w:val="006D0497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556C1"/>
    <w:rsid w:val="0076248E"/>
    <w:rsid w:val="007865CE"/>
    <w:rsid w:val="007A26D0"/>
    <w:rsid w:val="007A6243"/>
    <w:rsid w:val="007D505B"/>
    <w:rsid w:val="007E5DD5"/>
    <w:rsid w:val="007F7D27"/>
    <w:rsid w:val="00833BE6"/>
    <w:rsid w:val="00844309"/>
    <w:rsid w:val="008B18C8"/>
    <w:rsid w:val="008B253F"/>
    <w:rsid w:val="008C0780"/>
    <w:rsid w:val="008F49CB"/>
    <w:rsid w:val="008F76F5"/>
    <w:rsid w:val="00907891"/>
    <w:rsid w:val="00914198"/>
    <w:rsid w:val="00920215"/>
    <w:rsid w:val="00925A92"/>
    <w:rsid w:val="009262E4"/>
    <w:rsid w:val="00927CBB"/>
    <w:rsid w:val="0093116B"/>
    <w:rsid w:val="009378F4"/>
    <w:rsid w:val="009441DD"/>
    <w:rsid w:val="00965266"/>
    <w:rsid w:val="00982FAC"/>
    <w:rsid w:val="009A1689"/>
    <w:rsid w:val="009A7A79"/>
    <w:rsid w:val="009B4156"/>
    <w:rsid w:val="009D3E59"/>
    <w:rsid w:val="009F1619"/>
    <w:rsid w:val="009F2762"/>
    <w:rsid w:val="00A13C69"/>
    <w:rsid w:val="00A13CC4"/>
    <w:rsid w:val="00A33547"/>
    <w:rsid w:val="00A4189A"/>
    <w:rsid w:val="00A476C6"/>
    <w:rsid w:val="00A5683C"/>
    <w:rsid w:val="00A66706"/>
    <w:rsid w:val="00A809D3"/>
    <w:rsid w:val="00AB0A9C"/>
    <w:rsid w:val="00AC2247"/>
    <w:rsid w:val="00AC3BD0"/>
    <w:rsid w:val="00AC545F"/>
    <w:rsid w:val="00AD27F2"/>
    <w:rsid w:val="00AE6CC9"/>
    <w:rsid w:val="00B04E99"/>
    <w:rsid w:val="00B15BBB"/>
    <w:rsid w:val="00B355B2"/>
    <w:rsid w:val="00B72401"/>
    <w:rsid w:val="00BA0FB6"/>
    <w:rsid w:val="00BA5DC9"/>
    <w:rsid w:val="00BE5DE7"/>
    <w:rsid w:val="00C00C34"/>
    <w:rsid w:val="00C45BE6"/>
    <w:rsid w:val="00C73C62"/>
    <w:rsid w:val="00C80755"/>
    <w:rsid w:val="00C92A7F"/>
    <w:rsid w:val="00CA7083"/>
    <w:rsid w:val="00CB2CE2"/>
    <w:rsid w:val="00CB4A4A"/>
    <w:rsid w:val="00CF084C"/>
    <w:rsid w:val="00CF2700"/>
    <w:rsid w:val="00CF65D3"/>
    <w:rsid w:val="00D00BA3"/>
    <w:rsid w:val="00D36B6B"/>
    <w:rsid w:val="00D47440"/>
    <w:rsid w:val="00D52E07"/>
    <w:rsid w:val="00D62528"/>
    <w:rsid w:val="00D667AF"/>
    <w:rsid w:val="00D80433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422F5"/>
    <w:rsid w:val="00E7245A"/>
    <w:rsid w:val="00E83BD7"/>
    <w:rsid w:val="00E931E8"/>
    <w:rsid w:val="00EA5FDC"/>
    <w:rsid w:val="00EB3590"/>
    <w:rsid w:val="00ED1D4B"/>
    <w:rsid w:val="00ED288A"/>
    <w:rsid w:val="00ED2F4F"/>
    <w:rsid w:val="00EE1676"/>
    <w:rsid w:val="00F5377A"/>
    <w:rsid w:val="00F56A00"/>
    <w:rsid w:val="00F75678"/>
    <w:rsid w:val="00FA5DAC"/>
    <w:rsid w:val="00FD1F28"/>
    <w:rsid w:val="00FE611D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1F58-CBAE-4009-838B-B9BEC11C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3</cp:revision>
  <cp:lastPrinted>2020-07-02T07:31:00Z</cp:lastPrinted>
  <dcterms:created xsi:type="dcterms:W3CDTF">2020-07-06T05:51:00Z</dcterms:created>
  <dcterms:modified xsi:type="dcterms:W3CDTF">2020-07-06T05:54:00Z</dcterms:modified>
</cp:coreProperties>
</file>